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9D" w:rsidRDefault="00714D9D" w:rsidP="00714D9D">
      <w:pPr>
        <w:spacing w:after="0" w:line="240" w:lineRule="auto"/>
        <w:ind w:left="709"/>
      </w:pPr>
      <w:r>
        <w:rPr>
          <w:b/>
          <w:noProof/>
          <w:lang w:eastAsia="ru-RU"/>
        </w:rPr>
        <w:drawing>
          <wp:inline distT="0" distB="0" distL="0" distR="0" wp14:anchorId="74FA064A" wp14:editId="36D0439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D9D" w:rsidRPr="00714D9D" w:rsidRDefault="00714D9D" w:rsidP="00714D9D">
      <w:pPr>
        <w:spacing w:after="0" w:line="240" w:lineRule="auto"/>
        <w:ind w:left="709"/>
        <w:rPr>
          <w:b/>
        </w:rPr>
      </w:pPr>
      <w:r w:rsidRPr="00714D9D">
        <w:rPr>
          <w:b/>
        </w:rPr>
        <w:t xml:space="preserve">Пресс-релиз                                                                                                   </w:t>
      </w:r>
      <w:r>
        <w:rPr>
          <w:b/>
        </w:rPr>
        <w:t xml:space="preserve">                              1</w:t>
      </w:r>
      <w:r w:rsidRPr="002C490D">
        <w:rPr>
          <w:b/>
        </w:rPr>
        <w:t>8</w:t>
      </w:r>
      <w:r w:rsidRPr="00714D9D">
        <w:rPr>
          <w:b/>
        </w:rPr>
        <w:t>.05.2022</w:t>
      </w:r>
    </w:p>
    <w:p w:rsidR="00714D9D" w:rsidRPr="00714D9D" w:rsidRDefault="00714D9D" w:rsidP="00714D9D">
      <w:pPr>
        <w:spacing w:after="0" w:line="240" w:lineRule="auto"/>
        <w:ind w:left="709"/>
        <w:rPr>
          <w:b/>
        </w:rPr>
      </w:pPr>
    </w:p>
    <w:p w:rsidR="00B21BFD" w:rsidRPr="00714D9D" w:rsidRDefault="00604BDB" w:rsidP="00AC7958">
      <w:pPr>
        <w:spacing w:after="0" w:line="240" w:lineRule="auto"/>
        <w:jc w:val="center"/>
        <w:rPr>
          <w:sz w:val="24"/>
          <w:szCs w:val="24"/>
        </w:rPr>
      </w:pPr>
      <w:r w:rsidRPr="00714D9D">
        <w:rPr>
          <w:sz w:val="24"/>
          <w:szCs w:val="24"/>
        </w:rPr>
        <w:t xml:space="preserve"> «ДАЧНАЯ АМНИСТИЯ»</w:t>
      </w:r>
      <w:r w:rsidR="00543779" w:rsidRPr="00714D9D">
        <w:rPr>
          <w:sz w:val="24"/>
          <w:szCs w:val="24"/>
        </w:rPr>
        <w:t>: ЧТО НУЖНО ЗНАТЬ ЗАЯВИТЕЛЮ</w:t>
      </w:r>
    </w:p>
    <w:p w:rsidR="008C6E9F" w:rsidRPr="00714D9D" w:rsidRDefault="008C6E9F" w:rsidP="00AC7958">
      <w:pPr>
        <w:spacing w:after="0" w:line="240" w:lineRule="auto"/>
        <w:jc w:val="center"/>
        <w:rPr>
          <w:sz w:val="24"/>
          <w:szCs w:val="24"/>
        </w:rPr>
      </w:pPr>
    </w:p>
    <w:p w:rsidR="00604BDB" w:rsidRPr="00714D9D" w:rsidRDefault="00604BDB" w:rsidP="00AC7958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14D9D">
        <w:rPr>
          <w:rFonts w:cs="Arial"/>
          <w:sz w:val="24"/>
          <w:szCs w:val="24"/>
        </w:rPr>
        <w:t>«Дачная амнистия» действует в России с 1 сентября 2006 года</w:t>
      </w:r>
      <w:r w:rsidR="007A2536" w:rsidRPr="00714D9D">
        <w:rPr>
          <w:rFonts w:cs="Arial"/>
          <w:sz w:val="24"/>
          <w:szCs w:val="24"/>
        </w:rPr>
        <w:t xml:space="preserve">. </w:t>
      </w:r>
      <w:r w:rsidRPr="00714D9D">
        <w:rPr>
          <w:rFonts w:cs="Arial"/>
          <w:sz w:val="24"/>
          <w:szCs w:val="24"/>
        </w:rPr>
        <w:t>В настоящее время срок «дачной амнистии» установлен до 1 марта 2026 года. Однако с 1 сентября 2022 года ее срок будет продлен до 1 марта 2031 года в рамках так называемой «дачной амнистии 2.0» (Федеральный </w:t>
      </w:r>
      <w:hyperlink r:id="rId6" w:history="1">
        <w:r w:rsidRPr="00714D9D">
          <w:rPr>
            <w:rStyle w:val="a3"/>
            <w:rFonts w:cs="Arial"/>
            <w:color w:val="auto"/>
            <w:sz w:val="24"/>
            <w:szCs w:val="24"/>
            <w:u w:val="none"/>
          </w:rPr>
          <w:t>закон</w:t>
        </w:r>
      </w:hyperlink>
      <w:r w:rsidRPr="00714D9D">
        <w:rPr>
          <w:rFonts w:cs="Arial"/>
          <w:sz w:val="24"/>
          <w:szCs w:val="24"/>
        </w:rPr>
        <w:t> от 30 декабря 2021 года № 478-ФЗ).</w:t>
      </w:r>
    </w:p>
    <w:p w:rsidR="00604BDB" w:rsidRPr="00714D9D" w:rsidRDefault="00604BDB" w:rsidP="00AC7958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14D9D">
        <w:rPr>
          <w:rFonts w:cs="Arial"/>
          <w:sz w:val="24"/>
          <w:szCs w:val="24"/>
        </w:rPr>
        <w:t xml:space="preserve">Сегодня мы ответим на </w:t>
      </w:r>
      <w:r w:rsidR="008C6E9F" w:rsidRPr="00714D9D">
        <w:rPr>
          <w:rFonts w:cs="Arial"/>
          <w:sz w:val="24"/>
          <w:szCs w:val="24"/>
        </w:rPr>
        <w:t>три самых популярных вопрос</w:t>
      </w:r>
      <w:r w:rsidR="00F62CBC" w:rsidRPr="00714D9D">
        <w:rPr>
          <w:rFonts w:cs="Arial"/>
          <w:sz w:val="24"/>
          <w:szCs w:val="24"/>
        </w:rPr>
        <w:t xml:space="preserve">а, поступивших в адрес Управления </w:t>
      </w:r>
      <w:proofErr w:type="spellStart"/>
      <w:r w:rsidR="00F62CBC" w:rsidRPr="00714D9D">
        <w:rPr>
          <w:rFonts w:cs="Arial"/>
          <w:sz w:val="24"/>
          <w:szCs w:val="24"/>
        </w:rPr>
        <w:t>Росреестра</w:t>
      </w:r>
      <w:proofErr w:type="spellEnd"/>
      <w:r w:rsidR="00F62CBC" w:rsidRPr="00714D9D">
        <w:rPr>
          <w:rFonts w:cs="Arial"/>
          <w:sz w:val="24"/>
          <w:szCs w:val="24"/>
        </w:rPr>
        <w:t xml:space="preserve"> по Ростовской области,</w:t>
      </w:r>
      <w:r w:rsidRPr="00714D9D">
        <w:rPr>
          <w:rFonts w:cs="Arial"/>
          <w:sz w:val="24"/>
          <w:szCs w:val="24"/>
        </w:rPr>
        <w:t xml:space="preserve"> о том, как в упрощенном порядке оформить права на определенные земельные участки и отдельные виды зданий, в том числе жилые и садовые дома.</w:t>
      </w:r>
    </w:p>
    <w:p w:rsidR="008C6E9F" w:rsidRPr="00714D9D" w:rsidRDefault="008C6E9F" w:rsidP="00AC7958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604BDB" w:rsidRPr="00714D9D" w:rsidRDefault="008C6E9F" w:rsidP="00AC7958">
      <w:pPr>
        <w:pStyle w:val="a4"/>
        <w:spacing w:before="0" w:beforeAutospacing="0" w:after="0" w:afterAutospacing="0"/>
        <w:ind w:firstLine="360"/>
        <w:rPr>
          <w:rFonts w:asciiTheme="minorHAnsi" w:hAnsiTheme="minorHAnsi"/>
        </w:rPr>
      </w:pPr>
      <w:r w:rsidRPr="00714D9D">
        <w:rPr>
          <w:rFonts w:asciiTheme="minorHAnsi" w:hAnsiTheme="minorHAnsi"/>
          <w:bCs/>
        </w:rPr>
        <w:t>1.</w:t>
      </w:r>
      <w:r w:rsidR="00604BDB" w:rsidRPr="00714D9D">
        <w:rPr>
          <w:rFonts w:asciiTheme="minorHAnsi" w:hAnsiTheme="minorHAnsi"/>
          <w:bCs/>
        </w:rPr>
        <w:t>Какие объекты могут быть зарегистрированы в упрощенном порядке?</w:t>
      </w:r>
    </w:p>
    <w:p w:rsidR="00604BDB" w:rsidRPr="00714D9D" w:rsidRDefault="00604BDB" w:rsidP="00AC7958">
      <w:pPr>
        <w:pStyle w:val="a4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По «дачной амнистии» можно оформить жилые и садовые дома, расположенные на земельных участках, предоставленных для садоводства,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своей деятельности.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Кроме того, указанные жилые дома должны соответствовать параметрам объекта индивидуального жилищного строительства (ИЖС), т.е. должны: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- быть не более 20 метров высотой;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- иметь не более трёх надземных этажей;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- состоять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соответствующем здании.</w:t>
      </w:r>
    </w:p>
    <w:p w:rsidR="008C6E9F" w:rsidRPr="00714D9D" w:rsidRDefault="008C6E9F" w:rsidP="00AC7958">
      <w:pPr>
        <w:pStyle w:val="a4"/>
        <w:spacing w:before="0" w:beforeAutospacing="0" w:after="0" w:afterAutospacing="0"/>
        <w:rPr>
          <w:rFonts w:asciiTheme="minorHAnsi" w:hAnsiTheme="minorHAnsi"/>
        </w:rPr>
      </w:pPr>
    </w:p>
    <w:p w:rsidR="00604BDB" w:rsidRPr="00714D9D" w:rsidRDefault="008C6E9F" w:rsidP="00AC7958">
      <w:pPr>
        <w:pStyle w:val="a4"/>
        <w:spacing w:before="0" w:beforeAutospacing="0" w:after="0" w:afterAutospacing="0"/>
        <w:ind w:firstLine="360"/>
        <w:rPr>
          <w:rFonts w:asciiTheme="minorHAnsi" w:hAnsiTheme="minorHAnsi"/>
        </w:rPr>
      </w:pPr>
      <w:r w:rsidRPr="00714D9D">
        <w:rPr>
          <w:rFonts w:asciiTheme="minorHAnsi" w:hAnsiTheme="minorHAnsi"/>
        </w:rPr>
        <w:t>2.</w:t>
      </w:r>
      <w:r w:rsidR="00604BDB" w:rsidRPr="00714D9D">
        <w:rPr>
          <w:rFonts w:asciiTheme="minorHAnsi" w:hAnsiTheme="minorHAnsi"/>
          <w:bCs/>
        </w:rPr>
        <w:t>Какие необходимы документы?</w:t>
      </w:r>
    </w:p>
    <w:p w:rsidR="00604BDB" w:rsidRPr="00714D9D" w:rsidRDefault="00604BDB" w:rsidP="00AC7958">
      <w:pPr>
        <w:pStyle w:val="a4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Для оформления прав на объект капитального строительства в рамках «дачной амнистии» необходимо представить в орган регистрации прав следующие документы: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 xml:space="preserve">- </w:t>
      </w:r>
      <w:hyperlink r:id="rId7" w:history="1">
        <w:r w:rsidRPr="00714D9D">
          <w:rPr>
            <w:rStyle w:val="a3"/>
            <w:rFonts w:asciiTheme="minorHAnsi" w:hAnsiTheme="minorHAnsi"/>
            <w:bCs/>
            <w:color w:val="auto"/>
            <w:u w:val="none"/>
          </w:rPr>
          <w:t>заявление</w:t>
        </w:r>
      </w:hyperlink>
      <w:r w:rsidRPr="00714D9D">
        <w:rPr>
          <w:rFonts w:asciiTheme="minorHAnsi" w:hAnsiTheme="minorHAnsi"/>
          <w:bCs/>
        </w:rPr>
        <w:t> о государственном кадастровом учете и (или) государственной регистрации прав;</w:t>
      </w:r>
    </w:p>
    <w:p w:rsidR="00604BDB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  <w:bCs/>
        </w:rPr>
        <w:t>- технический план.</w:t>
      </w:r>
      <w:r w:rsidRPr="00714D9D">
        <w:rPr>
          <w:rFonts w:asciiTheme="minorHAnsi" w:hAnsiTheme="minorHAnsi"/>
        </w:rPr>
        <w:t> Он составляется кадастровым инженером. Сведения в техническом плане указываются на основании </w:t>
      </w:r>
      <w:hyperlink r:id="rId8" w:history="1">
        <w:r w:rsidRPr="00714D9D">
          <w:rPr>
            <w:rStyle w:val="a3"/>
            <w:rFonts w:asciiTheme="minorHAnsi" w:hAnsiTheme="minorHAnsi"/>
            <w:color w:val="auto"/>
            <w:u w:val="none"/>
          </w:rPr>
          <w:t>декларации</w:t>
        </w:r>
      </w:hyperlink>
      <w:r w:rsidRPr="00714D9D">
        <w:rPr>
          <w:rFonts w:asciiTheme="minorHAnsi" w:hAnsiTheme="minorHAnsi"/>
        </w:rPr>
        <w:t> об объекте недвижимости, составленной и заверенной собственником земельного участка, на котором расположен соответствующий объект недвижимости.</w:t>
      </w:r>
    </w:p>
    <w:p w:rsidR="008C6E9F" w:rsidRPr="00714D9D" w:rsidRDefault="00604BDB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В случае, если право на земельный участок зарегистрировано в ЕГРН, документ представлять не требуется.</w:t>
      </w:r>
    </w:p>
    <w:p w:rsidR="008C6E9F" w:rsidRPr="00714D9D" w:rsidRDefault="008C6E9F" w:rsidP="00AC7958">
      <w:pPr>
        <w:pStyle w:val="a4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C6E9F" w:rsidRPr="00714D9D" w:rsidRDefault="008C6E9F" w:rsidP="00AC7958">
      <w:pPr>
        <w:pStyle w:val="a4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714D9D">
        <w:rPr>
          <w:rFonts w:asciiTheme="minorHAnsi" w:hAnsiTheme="minorHAnsi"/>
        </w:rPr>
        <w:t>3.</w:t>
      </w:r>
      <w:r w:rsidRPr="00714D9D">
        <w:rPr>
          <w:rFonts w:asciiTheme="minorHAnsi" w:hAnsiTheme="minorHAnsi"/>
          <w:bCs/>
        </w:rPr>
        <w:t>Куда подавать документы для регистрации прав?</w:t>
      </w:r>
    </w:p>
    <w:p w:rsidR="008C6E9F" w:rsidRPr="00714D9D" w:rsidRDefault="008C6E9F" w:rsidP="00AC795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6E9F" w:rsidRPr="00714D9D" w:rsidRDefault="008C6E9F" w:rsidP="00AC7958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D9D">
        <w:rPr>
          <w:rFonts w:eastAsia="Times New Roman" w:cs="Times New Roman"/>
          <w:sz w:val="24"/>
          <w:szCs w:val="24"/>
          <w:lang w:eastAsia="ru-RU"/>
        </w:rPr>
        <w:t>Подготовленный пакет документов можно представить следующими способами:</w:t>
      </w:r>
    </w:p>
    <w:p w:rsidR="008C6E9F" w:rsidRPr="00714D9D" w:rsidRDefault="008C6E9F" w:rsidP="00AC7958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D9D">
        <w:rPr>
          <w:rFonts w:eastAsia="Times New Roman" w:cs="Times New Roman"/>
          <w:sz w:val="24"/>
          <w:szCs w:val="24"/>
          <w:lang w:eastAsia="ru-RU"/>
        </w:rPr>
        <w:lastRenderedPageBreak/>
        <w:t>- в бумажном виде при личном визите в МФЦ;</w:t>
      </w:r>
    </w:p>
    <w:p w:rsidR="008C6E9F" w:rsidRPr="00714D9D" w:rsidRDefault="008C6E9F" w:rsidP="00AC7958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D9D">
        <w:rPr>
          <w:rFonts w:eastAsia="Times New Roman" w:cs="Times New Roman"/>
          <w:sz w:val="24"/>
          <w:szCs w:val="24"/>
          <w:lang w:eastAsia="ru-RU"/>
        </w:rPr>
        <w:t>- 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9" w:anchor="/" w:history="1">
        <w:r w:rsidRPr="00714D9D">
          <w:rPr>
            <w:rFonts w:eastAsia="Times New Roman" w:cs="Times New Roman"/>
            <w:sz w:val="24"/>
            <w:szCs w:val="24"/>
            <w:lang w:eastAsia="ru-RU"/>
          </w:rPr>
          <w:t>сайте</w:t>
        </w:r>
      </w:hyperlink>
      <w:r w:rsidRPr="00714D9D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714D9D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714D9D">
        <w:rPr>
          <w:rFonts w:eastAsia="Times New Roman" w:cs="Times New Roman"/>
          <w:sz w:val="24"/>
          <w:szCs w:val="24"/>
          <w:lang w:eastAsia="ru-RU"/>
        </w:rPr>
        <w:t>.</w:t>
      </w:r>
    </w:p>
    <w:p w:rsidR="008C6E9F" w:rsidRPr="00714D9D" w:rsidRDefault="008C6E9F" w:rsidP="00AC7958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D9D">
        <w:rPr>
          <w:rFonts w:eastAsia="Times New Roman" w:cs="Times New Roman"/>
          <w:sz w:val="24"/>
          <w:szCs w:val="24"/>
          <w:lang w:eastAsia="ru-RU"/>
        </w:rPr>
        <w:t xml:space="preserve">Государственная пошлина за государственную регистрацию права собственности составляет 350 рублей. </w:t>
      </w:r>
      <w:r w:rsidR="004572EB" w:rsidRPr="00714D9D">
        <w:rPr>
          <w:rFonts w:eastAsia="Times New Roman" w:cs="Times New Roman"/>
          <w:sz w:val="24"/>
          <w:szCs w:val="24"/>
          <w:lang w:eastAsia="ru-RU"/>
        </w:rPr>
        <w:t>У</w:t>
      </w:r>
      <w:r w:rsidRPr="00714D9D">
        <w:rPr>
          <w:rFonts w:eastAsia="Times New Roman" w:cs="Times New Roman"/>
          <w:sz w:val="24"/>
          <w:szCs w:val="24"/>
          <w:lang w:eastAsia="ru-RU"/>
        </w:rPr>
        <w:t>казанный размер пошлины применяется только при первичной регистрации прав на объект недвижимости (то есть, не распространяется на случаи регистрации права, например, по наследству, на основании какого-либо договора и т.п., когда размер пошлины за регистрацию права будет составлять 2000 рублей).</w:t>
      </w:r>
    </w:p>
    <w:p w:rsidR="00DC7671" w:rsidRPr="00714D9D" w:rsidRDefault="00DC7671" w:rsidP="00604BDB">
      <w:pPr>
        <w:jc w:val="both"/>
        <w:rPr>
          <w:rFonts w:cs="Times New Roman"/>
          <w:sz w:val="24"/>
          <w:szCs w:val="24"/>
        </w:rPr>
      </w:pPr>
    </w:p>
    <w:p w:rsidR="00604BDB" w:rsidRDefault="008942B1" w:rsidP="00DC7671">
      <w:pPr>
        <w:ind w:firstLine="360"/>
        <w:jc w:val="both"/>
        <w:rPr>
          <w:sz w:val="24"/>
          <w:szCs w:val="24"/>
        </w:rPr>
      </w:pPr>
      <w:r w:rsidRPr="00714D9D">
        <w:rPr>
          <w:sz w:val="24"/>
          <w:szCs w:val="24"/>
        </w:rPr>
        <w:t>Напоминаем, что «дачные» вопросы вы можете</w:t>
      </w:r>
      <w:r w:rsidR="00DC7671" w:rsidRPr="00714D9D">
        <w:rPr>
          <w:sz w:val="24"/>
          <w:szCs w:val="24"/>
        </w:rPr>
        <w:t xml:space="preserve"> присылать в </w:t>
      </w:r>
      <w:proofErr w:type="spellStart"/>
      <w:r w:rsidR="00DC7671" w:rsidRPr="00714D9D">
        <w:rPr>
          <w:sz w:val="24"/>
          <w:szCs w:val="24"/>
        </w:rPr>
        <w:t>телеграм</w:t>
      </w:r>
      <w:proofErr w:type="spellEnd"/>
      <w:r w:rsidR="00DC7671" w:rsidRPr="00714D9D">
        <w:rPr>
          <w:sz w:val="24"/>
          <w:szCs w:val="24"/>
        </w:rPr>
        <w:t xml:space="preserve">-бот </w:t>
      </w:r>
      <w:proofErr w:type="spellStart"/>
      <w:r w:rsidR="00DC7671" w:rsidRPr="00714D9D">
        <w:rPr>
          <w:sz w:val="24"/>
          <w:szCs w:val="24"/>
        </w:rPr>
        <w:t>Росреестра</w:t>
      </w:r>
      <w:proofErr w:type="spellEnd"/>
      <w:r w:rsidR="00DC7671" w:rsidRPr="00714D9D">
        <w:rPr>
          <w:sz w:val="24"/>
          <w:szCs w:val="24"/>
        </w:rPr>
        <w:t xml:space="preserve"> – @</w:t>
      </w:r>
      <w:proofErr w:type="spellStart"/>
      <w:r w:rsidR="00DC7671" w:rsidRPr="00714D9D">
        <w:rPr>
          <w:sz w:val="24"/>
          <w:szCs w:val="24"/>
          <w:lang w:val="en-US"/>
        </w:rPr>
        <w:t>RosreestrDachaBot</w:t>
      </w:r>
      <w:proofErr w:type="spellEnd"/>
      <w:r w:rsidR="00DC7671" w:rsidRPr="00714D9D">
        <w:rPr>
          <w:sz w:val="24"/>
          <w:szCs w:val="24"/>
        </w:rPr>
        <w:t xml:space="preserve">. Ответы </w:t>
      </w:r>
      <w:r w:rsidR="00DC7F35" w:rsidRPr="00714D9D">
        <w:rPr>
          <w:sz w:val="24"/>
          <w:szCs w:val="24"/>
        </w:rPr>
        <w:t xml:space="preserve">регулярно </w:t>
      </w:r>
      <w:r w:rsidR="00DC7671" w:rsidRPr="00714D9D">
        <w:rPr>
          <w:sz w:val="24"/>
          <w:szCs w:val="24"/>
        </w:rPr>
        <w:t>публику</w:t>
      </w:r>
      <w:r w:rsidR="00DC7F35" w:rsidRPr="00714D9D">
        <w:rPr>
          <w:sz w:val="24"/>
          <w:szCs w:val="24"/>
        </w:rPr>
        <w:t>ются</w:t>
      </w:r>
      <w:r w:rsidR="00DC7671" w:rsidRPr="00714D9D">
        <w:rPr>
          <w:sz w:val="24"/>
          <w:szCs w:val="24"/>
        </w:rPr>
        <w:t xml:space="preserve"> на сайте и в </w:t>
      </w:r>
      <w:proofErr w:type="spellStart"/>
      <w:r w:rsidR="00DC7671" w:rsidRPr="00714D9D">
        <w:rPr>
          <w:sz w:val="24"/>
          <w:szCs w:val="24"/>
        </w:rPr>
        <w:t>соцсетях</w:t>
      </w:r>
      <w:proofErr w:type="spellEnd"/>
      <w:r w:rsidR="00DC7671" w:rsidRPr="00714D9D">
        <w:rPr>
          <w:sz w:val="24"/>
          <w:szCs w:val="24"/>
        </w:rPr>
        <w:t>.</w:t>
      </w:r>
    </w:p>
    <w:p w:rsidR="00714D9D" w:rsidRDefault="00714D9D" w:rsidP="00DC7671">
      <w:pPr>
        <w:ind w:firstLine="360"/>
        <w:jc w:val="both"/>
        <w:rPr>
          <w:sz w:val="24"/>
          <w:szCs w:val="24"/>
        </w:rPr>
      </w:pPr>
    </w:p>
    <w:p w:rsidR="002C490D" w:rsidRPr="002C490D" w:rsidRDefault="002C490D" w:rsidP="002C490D">
      <w:pPr>
        <w:spacing w:line="240" w:lineRule="auto"/>
        <w:ind w:firstLine="360"/>
        <w:jc w:val="both"/>
        <w:rPr>
          <w:b/>
          <w:sz w:val="24"/>
          <w:szCs w:val="24"/>
        </w:rPr>
      </w:pPr>
      <w:r w:rsidRPr="002C490D">
        <w:rPr>
          <w:b/>
          <w:sz w:val="24"/>
          <w:szCs w:val="24"/>
        </w:rPr>
        <w:t>Контакты для СМИ:</w:t>
      </w:r>
    </w:p>
    <w:p w:rsidR="002C490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</w:p>
    <w:p w:rsidR="002C490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  <w:r w:rsidRPr="002C490D">
        <w:rPr>
          <w:sz w:val="24"/>
          <w:szCs w:val="24"/>
        </w:rPr>
        <w:t xml:space="preserve">Пресс-служба Управления </w:t>
      </w:r>
      <w:proofErr w:type="spellStart"/>
      <w:r w:rsidRPr="002C490D">
        <w:rPr>
          <w:sz w:val="24"/>
          <w:szCs w:val="24"/>
        </w:rPr>
        <w:t>Росреестра</w:t>
      </w:r>
      <w:proofErr w:type="spellEnd"/>
      <w:r w:rsidRPr="002C490D">
        <w:rPr>
          <w:sz w:val="24"/>
          <w:szCs w:val="24"/>
        </w:rPr>
        <w:t xml:space="preserve"> по Ростовской области</w:t>
      </w:r>
    </w:p>
    <w:p w:rsidR="002C490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  <w:r w:rsidRPr="002C490D">
        <w:rPr>
          <w:sz w:val="24"/>
          <w:szCs w:val="24"/>
        </w:rPr>
        <w:t>Татьяна Фатеева</w:t>
      </w:r>
    </w:p>
    <w:p w:rsidR="002C490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  <w:r w:rsidRPr="002C490D">
        <w:rPr>
          <w:sz w:val="24"/>
          <w:szCs w:val="24"/>
        </w:rPr>
        <w:t>8-938-169-55-69</w:t>
      </w:r>
    </w:p>
    <w:p w:rsidR="002C490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  <w:r w:rsidRPr="002C490D">
        <w:rPr>
          <w:sz w:val="24"/>
          <w:szCs w:val="24"/>
        </w:rPr>
        <w:t>FateevaTA@r61.rosreestr.ru</w:t>
      </w:r>
    </w:p>
    <w:p w:rsidR="00714D9D" w:rsidRPr="002C490D" w:rsidRDefault="002C490D" w:rsidP="002C490D">
      <w:pPr>
        <w:spacing w:line="240" w:lineRule="auto"/>
        <w:ind w:firstLine="360"/>
        <w:jc w:val="both"/>
        <w:rPr>
          <w:sz w:val="24"/>
          <w:szCs w:val="24"/>
        </w:rPr>
      </w:pPr>
      <w:r w:rsidRPr="002C490D">
        <w:rPr>
          <w:sz w:val="24"/>
          <w:szCs w:val="24"/>
        </w:rPr>
        <w:t>www.rosreestr.gov.ru</w:t>
      </w:r>
      <w:bookmarkStart w:id="0" w:name="_GoBack"/>
      <w:bookmarkEnd w:id="0"/>
    </w:p>
    <w:sectPr w:rsidR="00714D9D" w:rsidRPr="002C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72F"/>
    <w:multiLevelType w:val="multilevel"/>
    <w:tmpl w:val="7AD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96BC6"/>
    <w:multiLevelType w:val="multilevel"/>
    <w:tmpl w:val="BCB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8011D"/>
    <w:multiLevelType w:val="multilevel"/>
    <w:tmpl w:val="A7D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C2215"/>
    <w:multiLevelType w:val="hybridMultilevel"/>
    <w:tmpl w:val="403A703A"/>
    <w:lvl w:ilvl="0" w:tplc="F0E04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797E"/>
    <w:multiLevelType w:val="multilevel"/>
    <w:tmpl w:val="6C9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7"/>
    <w:rsid w:val="002C490D"/>
    <w:rsid w:val="004572EB"/>
    <w:rsid w:val="00543779"/>
    <w:rsid w:val="00604BDB"/>
    <w:rsid w:val="00714D9D"/>
    <w:rsid w:val="007A2536"/>
    <w:rsid w:val="008942B1"/>
    <w:rsid w:val="008C6E9F"/>
    <w:rsid w:val="00AC7958"/>
    <w:rsid w:val="00B21BFD"/>
    <w:rsid w:val="00DA6887"/>
    <w:rsid w:val="00DC7671"/>
    <w:rsid w:val="00DC7F35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0AF2A-B472-4E9A-B524-B527976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B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kadastrovyy-uchet-i-ili-registratsiya-prav-/formaty-doku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46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reg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9</cp:revision>
  <dcterms:created xsi:type="dcterms:W3CDTF">2022-05-16T06:19:00Z</dcterms:created>
  <dcterms:modified xsi:type="dcterms:W3CDTF">2022-05-18T11:18:00Z</dcterms:modified>
</cp:coreProperties>
</file>